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宋体"/>
          <w:bCs/>
          <w:sz w:val="44"/>
          <w:szCs w:val="44"/>
        </w:rPr>
      </w:pP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中华人民共和国大鹏海关对</w:t>
      </w:r>
      <w:r>
        <w:rPr>
          <w:rFonts w:ascii="方正小标宋_GBK" w:eastAsia="方正小标宋_GBK" w:cs="宋体"/>
          <w:bCs/>
          <w:sz w:val="44"/>
          <w:szCs w:val="44"/>
        </w:rPr>
        <w:t>苏州晧之茗</w:t>
      </w:r>
    </w:p>
    <w:p>
      <w:pPr>
        <w:spacing w:line="56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/>
          <w:bCs/>
          <w:sz w:val="44"/>
          <w:szCs w:val="44"/>
        </w:rPr>
        <w:t>跨境电商有限公司</w:t>
      </w: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行政处罚结果公示</w:t>
      </w:r>
    </w:p>
    <w:tbl>
      <w:tblPr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37"/>
        <w:gridCol w:w="2321"/>
        <w:gridCol w:w="4728"/>
      </w:tblGrid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行政处罚决定书文号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鹏关缉缉违字〔2026〕10号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行政处罚相对人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苏州晧之茗跨境电商有限公司</w:t>
            </w:r>
          </w:p>
        </w:tc>
      </w:tr>
      <w:tr>
        <w:trPr>
          <w:trHeight w:val="1239"/>
        </w:trP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统一社会信用代码</w:t>
            </w:r>
          </w:p>
          <w:p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>/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海关代码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91320581MAEW291388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4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法定代表人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bCs/>
                <w:sz w:val="32"/>
                <w:szCs w:val="32"/>
              </w:rPr>
              <w:t>蒙沙沙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5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作出处罚决定的海关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ind w:left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大鹏海关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6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作出行政处罚的日期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2026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27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日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违法事实和理由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wordWrap w:val="0"/>
              <w:spacing w:before="100" w:beforeAutospacing="1" w:after="100" w:afterAutospacing="1" w:line="560" w:lineRule="exact"/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2025年11月9日，当事人委托深圳市锦盛通进出口有限公司持报关单531620250163363870以跨境电商B2B直接出口方式向海关申报出口落地灯等3项货物。2025年11月12日，经大鹏海关查验出14幅未申报货物地图拼图，净重40千克。经深圳市规划和自然资源数据管理中心审查鉴定，该批地图拼图不符合国家有关公开地图内容表示规定。根据《中华人民共和国海关进出境印刷品及音像制品监管办法》第四条第二项、第五条第一项之规定，该批地图拼图属于国家禁止出境货物。当事人的上述行为违反国家进出口管理规定，出口国家禁止出口的货物，已构成违反海关监管规定的行为。当事人配合海关查处违法行为，且认错认罚，具有从轻处罚情节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执法依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据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依照《中华人民共和国海关行</w:t>
            </w: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政处罚实施条例》第十三条、《中华人民共和国海关行政处罚裁量基准（一）》第九条第二项之规定。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9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处罚内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容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罚款人民币0.25万元。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10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救济渠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道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当事人不服本处罚决定的，依照《中华人民共和国行政复议法》第二十条、第二十七条、《中华人民共和国行政诉讼法》第四十六条之规定，可自收到本决定书之日起六十日内向深圳海关申请行政复议，或者自收到本决定书之日起六个月内，直接向深圳市中级人民法院提起诉讼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11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其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他</w:t>
            </w:r>
          </w:p>
        </w:tc>
        <w:tc>
          <w:tcPr>
            <w:tcW w:w="7049" w:type="dxa"/>
            <w:gridSpan w:val="2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before="100" w:beforeAutospacing="1" w:after="100" w:afterAutospacing="1" w:line="560" w:lineRule="exact"/>
        <w:jc w:val="left"/>
        <w:rPr>
          <w:rFonts w:ascii="Times New Roman" w:eastAsia="方正仿宋_GBK" w:cs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9">
    <w:name w:val="FollowedHyperlink"/>
    <w:basedOn w:val="10"/>
    <w:rPr>
      <w:color w:val="000000"/>
      <w:sz w:val="14"/>
      <w:szCs w:val="14"/>
      <w:u w:val="none"/>
    </w:rPr>
  </w:style>
  <w:style w:type="character" w:styleId="20">
    <w:name w:val="Hyperlink"/>
    <w:basedOn w:val="10"/>
    <w:rPr>
      <w:color w:val="000000"/>
      <w:sz w:val="14"/>
      <w:szCs w:val="14"/>
      <w:u w:val="none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22">
    <w:name w:val="ui-icon"/>
    <w:basedOn w:val="10"/>
  </w:style>
  <w:style w:type="character" w:customStyle="1" w:styleId="23">
    <w:name w:val="h-control-text-title"/>
    <w:basedOn w:val="10"/>
    <w:rPr>
      <w:bdr w:val="none" w:sz="0" w:space="0" w:color="auto"/>
      <w:shd w:val="clear" w:color="auto" w:fill="FFFFFF"/>
    </w:rPr>
  </w:style>
  <w:style w:type="character" w:customStyle="1" w:styleId="24">
    <w:name w:val="h-control-text-title1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25">
    <w:name w:val="ico-zs_duban"/>
    <w:basedOn w:val="10"/>
  </w:style>
  <w:style w:type="character" w:customStyle="1" w:styleId="26">
    <w:name w:val="ico-hidealsw"/>
    <w:basedOn w:val="10"/>
  </w:style>
  <w:style w:type="character" w:customStyle="1" w:styleId="27">
    <w:name w:val="ico-hidealhlwxx"/>
    <w:basedOn w:val="10"/>
  </w:style>
  <w:style w:type="character" w:customStyle="1" w:styleId="28">
    <w:name w:val="ico-hidealzwxx"/>
    <w:basedOn w:val="10"/>
  </w:style>
  <w:style w:type="character" w:customStyle="1" w:styleId="29">
    <w:name w:val="h-control-select"/>
    <w:basedOn w:val="10"/>
    <w:rPr>
      <w:bdr w:val="none" w:sz="0" w:space="0" w:color="auto"/>
      <w:shd w:val="clear" w:color="auto" w:fill="FFFFFF"/>
    </w:rPr>
  </w:style>
  <w:style w:type="character" w:customStyle="1" w:styleId="30">
    <w:name w:val="ico-plan_scheme"/>
    <w:basedOn w:val="10"/>
  </w:style>
  <w:style w:type="character" w:customStyle="1" w:styleId="31">
    <w:name w:val="first"/>
    <w:basedOn w:val="10"/>
  </w:style>
  <w:style w:type="character" w:customStyle="1" w:styleId="32">
    <w:name w:val="ico-news_material"/>
    <w:basedOn w:val="10"/>
  </w:style>
  <w:style w:type="character" w:customStyle="1" w:styleId="33">
    <w:name w:val="ico-hidealcooperation"/>
    <w:basedOn w:val="10"/>
  </w:style>
  <w:style w:type="character" w:customStyle="1" w:styleId="34">
    <w:name w:val="ico-hidealnotice"/>
    <w:basedOn w:val="10"/>
  </w:style>
  <w:style w:type="character" w:customStyle="1" w:styleId="35">
    <w:name w:val="man"/>
    <w:basedOn w:val="10"/>
  </w:style>
  <w:style w:type="character" w:customStyle="1" w:styleId="36">
    <w:name w:val="h-control-text-write2"/>
    <w:basedOn w:val="10"/>
    <w:rPr>
      <w:sz w:val="14"/>
      <w:szCs w:val="14"/>
      <w:bdr w:val="none" w:sz="0" w:space="0" w:color="auto"/>
    </w:rPr>
  </w:style>
  <w:style w:type="character" w:customStyle="1" w:styleId="37">
    <w:name w:val="ico-published_news"/>
    <w:basedOn w:val="10"/>
  </w:style>
  <w:style w:type="character" w:customStyle="1" w:styleId="38">
    <w:name w:val="women"/>
    <w:basedOn w:val="10"/>
  </w:style>
  <w:style w:type="character" w:customStyle="1" w:styleId="39">
    <w:name w:val="h-control-text-title-co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40">
    <w:name w:val="ico-news_add_score"/>
    <w:basedOn w:val="10"/>
  </w:style>
  <w:style w:type="character" w:customStyle="1" w:styleId="41">
    <w:name w:val="ico-news_picture"/>
    <w:basedOn w:val="10"/>
  </w:style>
  <w:style w:type="character" w:customStyle="1" w:styleId="42">
    <w:name w:val="icon"/>
    <w:basedOn w:val="10"/>
  </w:style>
  <w:style w:type="character" w:customStyle="1" w:styleId="43">
    <w:name w:val="ico-hidealqb"/>
    <w:basedOn w:val="10"/>
  </w:style>
  <w:style w:type="character" w:customStyle="1" w:styleId="44">
    <w:name w:val="ico-hidealcap"/>
    <w:basedOn w:val="10"/>
  </w:style>
  <w:style w:type="character" w:customStyle="1" w:styleId="45">
    <w:name w:val="h-control-select-secret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6">
    <w:name w:val="h-control-text"/>
    <w:basedOn w:val="10"/>
    <w:rPr>
      <w:sz w:val="14"/>
      <w:szCs w:val="14"/>
    </w:rPr>
  </w:style>
  <w:style w:type="character" w:customStyle="1" w:styleId="47">
    <w:name w:val="h-control-textarea"/>
    <w:basedOn w:val="10"/>
    <w:rPr>
      <w:color w:val="000000"/>
    </w:rPr>
  </w:style>
  <w:style w:type="character" w:customStyle="1" w:styleId="48">
    <w:name w:val="h-control-textarea1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9">
    <w:name w:val="h-control-text-key"/>
    <w:basedOn w:val="10"/>
    <w:rPr>
      <w:rFonts w:ascii="宋体" w:eastAsia="宋体" w:cs="宋体"/>
      <w:sz w:val="14"/>
      <w:szCs w:val="14"/>
      <w:u w:val="single"/>
    </w:rPr>
  </w:style>
  <w:style w:type="character" w:customStyle="1" w:styleId="50">
    <w:name w:val="ico-zs_resource"/>
    <w:basedOn w:val="10"/>
  </w:style>
  <w:style w:type="character" w:customStyle="1" w:styleId="51">
    <w:name w:val="h-control-text-title-qb"/>
    <w:basedOn w:val="10"/>
    <w:rPr>
      <w:rFonts w:ascii="宋体" w:eastAsia="宋体" w:cs="宋体"/>
      <w:b/>
      <w:bCs/>
      <w:sz w:val="16"/>
      <w:szCs w:val="16"/>
      <w:bdr w:val="single" w:sz="4" w:space="0" w:color="F5F5F5"/>
      <w:shd w:val="clear" w:color="auto" w:fill="F5F5F5"/>
    </w:rPr>
  </w:style>
  <w:style w:type="character" w:customStyle="1" w:styleId="52">
    <w:name w:val="h-control-select-co"/>
    <w:basedOn w:val="10"/>
    <w:rPr>
      <w:rFonts w:ascii="宋体" w:eastAsia="宋体" w:cs="宋体"/>
      <w:sz w:val="14"/>
      <w:szCs w:val="14"/>
      <w:bdr w:val="single" w:sz="4" w:space="0" w:color="F5F5F5"/>
      <w:shd w:val="clear" w:color="auto" w:fill="F5F5F5"/>
    </w:rPr>
  </w:style>
  <w:style w:type="character" w:customStyle="1" w:styleId="53">
    <w:name w:val="h-control-text-write-qb2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54">
    <w:name w:val="ico-hidealfw"/>
    <w:basedOn w:val="10"/>
  </w:style>
  <w:style w:type="character" w:customStyle="1" w:styleId="55">
    <w:name w:val="ico-zs_news"/>
    <w:basedOn w:val="10"/>
  </w:style>
  <w:style w:type="character" w:customStyle="1" w:styleId="56">
    <w:name w:val="ico-logistic_support"/>
    <w:basedOn w:val="10"/>
  </w:style>
  <w:style w:type="character" w:customStyle="1" w:styleId="57">
    <w:name w:val="ico-news_internet"/>
    <w:basedOn w:val="10"/>
  </w:style>
  <w:style w:type="character" w:customStyle="1" w:styleId="58">
    <w:name w:val="ico-video_material"/>
    <w:basedOn w:val="10"/>
  </w:style>
  <w:style w:type="character" w:customStyle="1" w:styleId="59">
    <w:name w:val="labelstyle1"/>
    <w:basedOn w:val="10"/>
    <w:rPr>
      <w:rFonts w:ascii="微软雅黑" w:eastAsia="微软雅黑" w:cs="微软雅黑"/>
      <w:sz w:val="14"/>
      <w:szCs w:val="14"/>
    </w:rPr>
  </w:style>
  <w:style w:type="character" w:customStyle="1" w:styleId="60">
    <w:name w:val="h-control-text-write-qb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61">
    <w:name w:val="h-control-select4"/>
    <w:basedOn w:val="10"/>
    <w:rPr>
      <w:bdr w:val="none" w:sz="0" w:space="0" w:color="auto"/>
      <w:shd w:val="clear" w:color="auto" w:fill="FFFFFF"/>
    </w:rPr>
  </w:style>
  <w:style w:type="character" w:customStyle="1" w:styleId="62">
    <w:name w:val="h-control-select5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character" w:customStyle="1" w:styleId="63">
    <w:name w:val="ui-icon29"/>
    <w:basedOn w:val="10"/>
  </w:style>
  <w:style w:type="character" w:customStyle="1" w:styleId="64">
    <w:name w:val="h-control-text-write"/>
    <w:basedOn w:val="10"/>
    <w:rPr>
      <w:sz w:val="14"/>
      <w:szCs w:val="14"/>
      <w:bdr w:val="single" w:sz="2" w:space="0" w:color="969696"/>
      <w:shd w:val="clear" w:color="auto" w:fill="FFFFFF"/>
    </w:rPr>
  </w:style>
  <w:style w:type="character" w:customStyle="1" w:styleId="65">
    <w:name w:val="ui-icon36"/>
    <w:basedOn w:val="10"/>
  </w:style>
  <w:style w:type="character" w:customStyle="1" w:styleId="66">
    <w:name w:val="ui-icon35"/>
    <w:basedOn w:val="10"/>
  </w:style>
  <w:style w:type="character" w:customStyle="1" w:styleId="67">
    <w:name w:val="h-control-select1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paragraph" w:customStyle="1" w:styleId="6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231</TotalTime>
  <Application>Yozo_Office</Application>
  <Pages>2</Pages>
  <Words>620</Words>
  <Characters>680</Characters>
  <Lines>60</Lines>
  <Paragraphs>35</Paragraphs>
  <CharactersWithSpaces>684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高扬</dc:creator>
  <cp:lastModifiedBy>李宗泽</cp:lastModifiedBy>
  <cp:revision>6</cp:revision>
  <cp:lastPrinted>2025-09-02T03:12:26Z</cp:lastPrinted>
  <dcterms:created xsi:type="dcterms:W3CDTF">2025-02-11T06:57:00Z</dcterms:created>
  <dcterms:modified xsi:type="dcterms:W3CDTF">2026-02-27T08:08:55Z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3C1C74027DBA4F388B56762EB3D5D823</vt:lpwstr>
  </property>
</Properties>
</file>